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160" w:line="259"/>
        <w:ind w:right="0" w:left="0" w:firstLine="0"/>
        <w:jc w:val="center"/>
        <w:rPr>
          <w:rFonts w:ascii="Arial" w:hAnsi="Arial" w:cs="Arial" w:eastAsia="Arial"/>
          <w:b/>
          <w:color w:val="auto"/>
          <w:spacing w:val="0"/>
          <w:position w:val="0"/>
          <w:sz w:val="36"/>
          <w:u w:val="single"/>
          <w:shd w:fill="auto" w:val="clear"/>
        </w:rPr>
      </w:pPr>
      <w:r>
        <w:object w:dxaOrig="1404" w:dyaOrig="1404">
          <v:rect xmlns:o="urn:schemas-microsoft-com:office:office" xmlns:v="urn:schemas-microsoft-com:vml" id="rectole0000000000" style="width:70.200000pt;height:70.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160" w:line="259"/>
        <w:ind w:right="0" w:left="0" w:firstLine="0"/>
        <w:jc w:val="center"/>
        <w:rPr>
          <w:rFonts w:ascii="Arial" w:hAnsi="Arial" w:cs="Arial" w:eastAsia="Arial"/>
          <w:b/>
          <w:color w:val="auto"/>
          <w:spacing w:val="0"/>
          <w:position w:val="0"/>
          <w:sz w:val="36"/>
          <w:u w:val="single"/>
          <w:shd w:fill="auto" w:val="clear"/>
        </w:rPr>
      </w:pPr>
      <w:r>
        <w:rPr>
          <w:rFonts w:ascii="Arial" w:hAnsi="Arial" w:cs="Arial" w:eastAsia="Arial"/>
          <w:b/>
          <w:color w:val="auto"/>
          <w:spacing w:val="0"/>
          <w:position w:val="0"/>
          <w:sz w:val="36"/>
          <w:u w:val="single"/>
          <w:shd w:fill="auto" w:val="clear"/>
        </w:rPr>
        <w:t xml:space="preserve">WINTER WORK 2024/25.</w:t>
      </w:r>
    </w:p>
    <w:p>
      <w:pPr>
        <w:spacing w:before="0" w:after="160" w:line="259"/>
        <w:ind w:right="0" w:left="0" w:firstLine="0"/>
        <w:jc w:val="center"/>
        <w:rPr>
          <w:rFonts w:ascii="Arial" w:hAnsi="Arial" w:cs="Arial" w:eastAsia="Arial"/>
          <w:b/>
          <w:color w:val="auto"/>
          <w:spacing w:val="0"/>
          <w:position w:val="0"/>
          <w:sz w:val="24"/>
          <w:u w:val="single"/>
          <w:shd w:fill="auto" w:val="clear"/>
        </w:rPr>
      </w:pPr>
    </w:p>
    <w:p>
      <w:pPr>
        <w:numPr>
          <w:ilvl w:val="0"/>
          <w:numId w:val="2"/>
        </w:numPr>
        <w:spacing w:before="0" w:after="160" w:line="259"/>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Full Herringbone drainage to the 6</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green and parts of the 6</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apron. Outlet will run down the right hand side of the fairway and be tied into an existing drain which runs into the ditch.</w:t>
      </w:r>
    </w:p>
    <w:p>
      <w:pPr>
        <w:spacing w:before="0" w:after="160" w:line="259"/>
        <w:ind w:right="0" w:left="720" w:firstLine="0"/>
        <w:jc w:val="left"/>
        <w:rPr>
          <w:rFonts w:ascii="Arial" w:hAnsi="Arial" w:cs="Arial" w:eastAsia="Arial"/>
          <w:color w:val="auto"/>
          <w:spacing w:val="0"/>
          <w:position w:val="0"/>
          <w:sz w:val="22"/>
          <w:shd w:fill="auto" w:val="clear"/>
        </w:rPr>
      </w:pPr>
    </w:p>
    <w:p>
      <w:pPr>
        <w:numPr>
          <w:ilvl w:val="0"/>
          <w:numId w:val="4"/>
        </w:numPr>
        <w:spacing w:before="0" w:after="160" w:line="259"/>
        <w:ind w:right="0" w:left="709"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Removal of the greenside bunker on the RHS of the 6</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green.</w:t>
      </w:r>
    </w:p>
    <w:p>
      <w:pPr>
        <w:spacing w:before="0" w:after="160" w:line="259"/>
        <w:ind w:right="0" w:left="720" w:firstLine="0"/>
        <w:jc w:val="left"/>
        <w:rPr>
          <w:rFonts w:ascii="Arial" w:hAnsi="Arial" w:cs="Arial" w:eastAsia="Arial"/>
          <w:color w:val="auto"/>
          <w:spacing w:val="0"/>
          <w:position w:val="0"/>
          <w:sz w:val="22"/>
          <w:shd w:fill="auto" w:val="clear"/>
        </w:rPr>
      </w:pPr>
    </w:p>
    <w:p>
      <w:pPr>
        <w:numPr>
          <w:ilvl w:val="0"/>
          <w:numId w:val="6"/>
        </w:numPr>
        <w:spacing w:before="0" w:after="160" w:line="259"/>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Removal of the sleepers to the side of the 7</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tee, reduce its size at the front and grade the area from the 9</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green to the 6</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green all blended in with a bank to the front of the 7</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tee. See image below, also an area will be created to install a winter tee mat.  </w:t>
      </w:r>
    </w:p>
    <w:p>
      <w:pPr>
        <w:spacing w:before="0" w:after="160" w:line="259"/>
        <w:ind w:right="0" w:left="720" w:firstLine="0"/>
        <w:jc w:val="left"/>
        <w:rPr>
          <w:rFonts w:ascii="Arial" w:hAnsi="Arial" w:cs="Arial" w:eastAsia="Arial"/>
          <w:color w:val="auto"/>
          <w:spacing w:val="0"/>
          <w:position w:val="0"/>
          <w:sz w:val="22"/>
          <w:shd w:fill="auto" w:val="clear"/>
        </w:rPr>
      </w:pPr>
    </w:p>
    <w:p>
      <w:pPr>
        <w:spacing w:before="0" w:after="160" w:line="259"/>
        <w:ind w:right="0" w:left="0" w:firstLine="0"/>
        <w:jc w:val="center"/>
        <w:rPr>
          <w:rFonts w:ascii="Arial" w:hAnsi="Arial" w:cs="Arial" w:eastAsia="Arial"/>
          <w:color w:val="auto"/>
          <w:spacing w:val="0"/>
          <w:position w:val="0"/>
          <w:sz w:val="22"/>
          <w:shd w:fill="auto" w:val="clear"/>
        </w:rPr>
      </w:pPr>
      <w:r>
        <w:object w:dxaOrig="9828" w:dyaOrig="4423">
          <v:rect xmlns:o="urn:schemas-microsoft-com:office:office" xmlns:v="urn:schemas-microsoft-com:vml" id="rectole0000000001" style="width:491.400000pt;height:221.1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160" w:line="259"/>
        <w:ind w:right="0" w:left="720" w:firstLine="0"/>
        <w:jc w:val="left"/>
        <w:rPr>
          <w:rFonts w:ascii="Arial" w:hAnsi="Arial" w:cs="Arial" w:eastAsia="Arial"/>
          <w:color w:val="auto"/>
          <w:spacing w:val="0"/>
          <w:position w:val="0"/>
          <w:sz w:val="22"/>
          <w:shd w:fill="auto" w:val="clear"/>
        </w:rPr>
      </w:pPr>
    </w:p>
    <w:p>
      <w:pPr>
        <w:numPr>
          <w:ilvl w:val="0"/>
          <w:numId w:val="10"/>
        </w:numPr>
        <w:spacing w:before="0" w:after="160" w:line="259"/>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Filling in of the large middle bunker on the 10</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hole. A new smaller pot bunker will be created slightly left of middle and an apron created with provision for a much more useable winter green. Image shown…</w:t>
      </w:r>
    </w:p>
    <w:p>
      <w:pPr>
        <w:spacing w:before="0" w:after="160" w:line="259"/>
        <w:ind w:right="0" w:left="720" w:firstLine="0"/>
        <w:jc w:val="left"/>
        <w:rPr>
          <w:rFonts w:ascii="Arial" w:hAnsi="Arial" w:cs="Arial" w:eastAsia="Arial"/>
          <w:color w:val="auto"/>
          <w:spacing w:val="0"/>
          <w:position w:val="0"/>
          <w:sz w:val="28"/>
          <w:shd w:fill="auto" w:val="clear"/>
        </w:rPr>
      </w:pPr>
    </w:p>
    <w:p>
      <w:pPr>
        <w:spacing w:before="0" w:after="160" w:line="259"/>
        <w:ind w:right="0" w:left="720" w:firstLine="0"/>
        <w:jc w:val="left"/>
        <w:rPr>
          <w:rFonts w:ascii="Arial" w:hAnsi="Arial" w:cs="Arial" w:eastAsia="Arial"/>
          <w:color w:val="auto"/>
          <w:spacing w:val="0"/>
          <w:position w:val="0"/>
          <w:sz w:val="28"/>
          <w:shd w:fill="auto" w:val="clear"/>
        </w:rPr>
      </w:pPr>
      <w:r>
        <w:object w:dxaOrig="8856" w:dyaOrig="3919">
          <v:rect xmlns:o="urn:schemas-microsoft-com:office:office" xmlns:v="urn:schemas-microsoft-com:vml" id="rectole0000000002" style="width:442.800000pt;height:195.95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0" w:line="240"/>
        <w:ind w:right="0" w:left="720" w:firstLine="0"/>
        <w:jc w:val="left"/>
        <w:rPr>
          <w:rFonts w:ascii="Arial" w:hAnsi="Arial" w:cs="Arial" w:eastAsia="Arial"/>
          <w:color w:val="auto"/>
          <w:spacing w:val="0"/>
          <w:position w:val="0"/>
          <w:sz w:val="24"/>
          <w:shd w:fill="auto" w:val="clear"/>
        </w:rPr>
      </w:pPr>
    </w:p>
    <w:p>
      <w:pPr>
        <w:numPr>
          <w:ilvl w:val="0"/>
          <w:numId w:val="13"/>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A small drain to deal with the waterlogged area on the front left of the 7</w:t>
      </w:r>
      <w:r>
        <w:rPr>
          <w:rFonts w:ascii="Arial" w:hAnsi="Arial" w:cs="Arial" w:eastAsia="Arial"/>
          <w:color w:val="auto"/>
          <w:spacing w:val="0"/>
          <w:position w:val="0"/>
          <w:sz w:val="22"/>
          <w:shd w:fill="auto" w:val="clear"/>
          <w:vertAlign w:val="superscript"/>
        </w:rPr>
        <w:t xml:space="preserve">th</w:t>
      </w:r>
      <w:r>
        <w:rPr>
          <w:rFonts w:ascii="Arial" w:hAnsi="Arial" w:cs="Arial" w:eastAsia="Arial"/>
          <w:color w:val="auto"/>
          <w:spacing w:val="0"/>
          <w:position w:val="0"/>
          <w:sz w:val="22"/>
          <w:shd w:fill="auto" w:val="clear"/>
        </w:rPr>
        <w:t xml:space="preserve"> green, which will lead into a soakaway in the rough. </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5"/>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The wet unsightly area to the right hand side of the 2</w:t>
      </w:r>
      <w:r>
        <w:rPr>
          <w:rFonts w:ascii="Arial" w:hAnsi="Arial" w:cs="Arial" w:eastAsia="Arial"/>
          <w:color w:val="auto"/>
          <w:spacing w:val="0"/>
          <w:position w:val="0"/>
          <w:sz w:val="22"/>
          <w:shd w:fill="auto" w:val="clear"/>
          <w:vertAlign w:val="superscript"/>
        </w:rPr>
        <w:t xml:space="preserve">nd</w:t>
      </w:r>
      <w:r>
        <w:rPr>
          <w:rFonts w:ascii="Arial" w:hAnsi="Arial" w:cs="Arial" w:eastAsia="Arial"/>
          <w:color w:val="auto"/>
          <w:spacing w:val="0"/>
          <w:position w:val="0"/>
          <w:sz w:val="22"/>
          <w:shd w:fill="auto" w:val="clear"/>
        </w:rPr>
        <w:t xml:space="preserve"> green will be investigated, drained and re-instated as necessary.</w:t>
      </w:r>
    </w:p>
    <w:p>
      <w:pPr>
        <w:spacing w:before="0" w:after="160" w:line="259"/>
        <w:ind w:right="0" w:left="720" w:firstLine="0"/>
        <w:jc w:val="left"/>
        <w:rPr>
          <w:rFonts w:ascii="Arial" w:hAnsi="Arial" w:cs="Arial" w:eastAsia="Arial"/>
          <w:color w:val="auto"/>
          <w:spacing w:val="0"/>
          <w:position w:val="0"/>
          <w:sz w:val="22"/>
          <w:shd w:fill="auto" w:val="clear"/>
        </w:rPr>
      </w:pPr>
    </w:p>
    <w:p>
      <w:pPr>
        <w:numPr>
          <w:ilvl w:val="0"/>
          <w:numId w:val="17"/>
        </w:numPr>
        <w:spacing w:before="0" w:after="0" w:line="240"/>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Tree work will be carried out during any periods of hard frost or snow and will include, removal of tree branches, crown raising and removal of any trees which cause issues with playability. </w:t>
      </w:r>
    </w:p>
    <w:p>
      <w:pPr>
        <w:spacing w:before="0" w:after="0" w:line="240"/>
        <w:ind w:right="0" w:left="0" w:firstLine="0"/>
        <w:jc w:val="left"/>
        <w:rPr>
          <w:rFonts w:ascii="Arial" w:hAnsi="Arial" w:cs="Arial" w:eastAsia="Arial"/>
          <w:color w:val="auto"/>
          <w:spacing w:val="0"/>
          <w:position w:val="0"/>
          <w:sz w:val="22"/>
          <w:shd w:fill="auto" w:val="clear"/>
        </w:rPr>
      </w:pPr>
    </w:p>
    <w:p>
      <w:pPr>
        <w:numPr>
          <w:ilvl w:val="0"/>
          <w:numId w:val="19"/>
        </w:numPr>
        <w:spacing w:before="0" w:after="160" w:line="259"/>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Bunkers - It is our intention going forward to prioritise the removal of bunkers which add little or no value to the course, and repair or rebuild the ones in poor condition before any new ones are created. No bunkers will be removed without having been carefully considered by the greens committee and a course architect. Time and resources are used to maintain them which could be better spent on other bunkers or areas of the course. Where bunkers are removed a smooth run off area will be created instead with the intention of adding value to the hole. </w:t>
      </w:r>
    </w:p>
    <w:p>
      <w:pPr>
        <w:spacing w:before="0" w:after="160" w:line="259"/>
        <w:ind w:right="0" w:left="720" w:firstLine="0"/>
        <w:jc w:val="left"/>
        <w:rPr>
          <w:rFonts w:ascii="Arial" w:hAnsi="Arial" w:cs="Arial" w:eastAsia="Arial"/>
          <w:color w:val="auto"/>
          <w:spacing w:val="0"/>
          <w:position w:val="0"/>
          <w:sz w:val="22"/>
          <w:shd w:fill="auto" w:val="clear"/>
        </w:rPr>
      </w:pPr>
    </w:p>
    <w:p>
      <w:pPr>
        <w:spacing w:before="0" w:after="160" w:line="259"/>
        <w:ind w:right="0" w:left="720" w:firstLine="0"/>
        <w:jc w:val="left"/>
        <w:rPr>
          <w:rFonts w:ascii="Arial" w:hAnsi="Arial" w:cs="Arial" w:eastAsia="Arial"/>
          <w:color w:val="auto"/>
          <w:spacing w:val="0"/>
          <w:position w:val="0"/>
          <w:sz w:val="22"/>
          <w:shd w:fill="auto" w:val="clear"/>
        </w:rPr>
      </w:pPr>
    </w:p>
    <w:p>
      <w:pPr>
        <w:spacing w:before="0" w:after="0" w:line="240"/>
        <w:ind w:right="0" w:left="0" w:firstLine="0"/>
        <w:jc w:val="left"/>
        <w:rPr>
          <w:rFonts w:ascii="Arial" w:hAnsi="Arial" w:cs="Arial" w:eastAsia="Arial"/>
          <w:color w:val="auto"/>
          <w:spacing w:val="0"/>
          <w:position w:val="0"/>
          <w:sz w:val="22"/>
          <w:shd w:fill="auto" w:val="clear"/>
        </w:rPr>
      </w:pPr>
    </w:p>
    <w:p>
      <w:pPr>
        <w:spacing w:before="0" w:after="0" w:line="240"/>
        <w:ind w:right="0" w:left="720" w:firstLine="0"/>
        <w:jc w:val="left"/>
        <w:rPr>
          <w:rFonts w:ascii="Arial" w:hAnsi="Arial" w:cs="Arial" w:eastAsia="Arial"/>
          <w:color w:val="auto"/>
          <w:spacing w:val="0"/>
          <w:position w:val="0"/>
          <w:sz w:val="22"/>
          <w:shd w:fill="auto" w:val="clear"/>
        </w:rPr>
      </w:pPr>
    </w:p>
    <w:p>
      <w:pPr>
        <w:spacing w:before="0" w:after="160" w:line="259"/>
        <w:ind w:right="0" w:left="0" w:firstLine="0"/>
        <w:jc w:val="left"/>
        <w:rPr>
          <w:rFonts w:ascii="Arial" w:hAnsi="Arial" w:cs="Arial" w:eastAsia="Arial"/>
          <w:color w:val="auto"/>
          <w:spacing w:val="0"/>
          <w:position w:val="0"/>
          <w:sz w:val="24"/>
          <w:shd w:fill="auto" w:val="clear"/>
        </w:rPr>
      </w:pPr>
    </w:p>
    <w:p>
      <w:pPr>
        <w:spacing w:before="0" w:after="160" w:line="259"/>
        <w:ind w:right="0" w:left="0" w:firstLine="0"/>
        <w:jc w:val="left"/>
        <w:rPr>
          <w:rFonts w:ascii="Arial" w:hAnsi="Arial" w:cs="Arial" w:eastAsia="Arial"/>
          <w:color w:val="auto"/>
          <w:spacing w:val="0"/>
          <w:position w:val="0"/>
          <w:sz w:val="28"/>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abstractNum w:abstractNumId="12">
    <w:lvl w:ilvl="0">
      <w:start w:val="1"/>
      <w:numFmt w:val="bullet"/>
      <w:lvlText w:val="•"/>
    </w:lvl>
  </w:abstractNum>
  <w:abstractNum w:abstractNumId="18">
    <w:lvl w:ilvl="0">
      <w:start w:val="1"/>
      <w:numFmt w:val="bullet"/>
      <w:lvlText w:val="•"/>
    </w:lvl>
  </w:abstractNum>
  <w:abstractNum w:abstractNumId="24">
    <w:lvl w:ilvl="0">
      <w:start w:val="1"/>
      <w:numFmt w:val="bullet"/>
      <w:lvlText w:val="•"/>
    </w:lvl>
  </w:abstractNum>
  <w:abstractNum w:abstractNumId="30">
    <w:lvl w:ilvl="0">
      <w:start w:val="1"/>
      <w:numFmt w:val="bullet"/>
      <w:lvlText w:val="•"/>
    </w:lvl>
  </w:abstractNum>
  <w:abstractNum w:abstractNumId="36">
    <w:lvl w:ilvl="0">
      <w:start w:val="1"/>
      <w:numFmt w:val="bullet"/>
      <w:lvlText w:val="•"/>
    </w:lvl>
  </w:abstractNum>
  <w:abstractNum w:abstractNumId="42">
    <w:lvl w:ilvl="0">
      <w:start w:val="1"/>
      <w:numFmt w:val="bullet"/>
      <w:lvlText w:val="•"/>
    </w:lvl>
  </w:abstractNum>
  <w:num w:numId="2">
    <w:abstractNumId w:val="42"/>
  </w:num>
  <w:num w:numId="4">
    <w:abstractNumId w:val="36"/>
  </w:num>
  <w:num w:numId="6">
    <w:abstractNumId w:val="30"/>
  </w:num>
  <w:num w:numId="10">
    <w:abstractNumId w:val="24"/>
  </w:num>
  <w:num w:numId="13">
    <w:abstractNumId w:val="18"/>
  </w:num>
  <w:num w:numId="15">
    <w:abstractNumId w:val="12"/>
  </w:num>
  <w:num w:numId="17">
    <w:abstractNumId w:val="6"/>
  </w:num>
  <w:num w:numId="19">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0.wmf" Id="docRId1" Type="http://schemas.openxmlformats.org/officeDocument/2006/relationships/image" /><Relationship Target="media/image1.wmf" Id="docRId3" Type="http://schemas.openxmlformats.org/officeDocument/2006/relationships/image" /><Relationship Target="media/image2.wmf" Id="docRId5" Type="http://schemas.openxmlformats.org/officeDocument/2006/relationships/image" /><Relationship Target="styles.xml" Id="docRId7" Type="http://schemas.openxmlformats.org/officeDocument/2006/relationships/styles" /><Relationship Target="embeddings/oleObject0.bin" Id="docRId0" Type="http://schemas.openxmlformats.org/officeDocument/2006/relationships/oleObject" /><Relationship Target="embeddings/oleObject1.bin" Id="docRId2" Type="http://schemas.openxmlformats.org/officeDocument/2006/relationships/oleObject" /><Relationship Target="embeddings/oleObject2.bin" Id="docRId4" Type="http://schemas.openxmlformats.org/officeDocument/2006/relationships/oleObject" /><Relationship Target="numbering.xml" Id="docRId6" Type="http://schemas.openxmlformats.org/officeDocument/2006/relationships/numbering" /></Relationships>
</file>